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tabs>
          <w:tab w:val="right" w:pos="10440"/>
          <w:tab w:val="right" w:pos="13323"/>
        </w:tabs>
        <w:rPr>
          <w:rFonts w:hint="default" w:ascii="Arial" w:hAnsi="Arial" w:eastAsia="宋体" w:cs="Arial"/>
          <w:b/>
          <w:sz w:val="24"/>
          <w:szCs w:val="24"/>
          <w:lang w:val="en-US" w:eastAsia="zh-CN"/>
        </w:rPr>
      </w:pPr>
      <w:bookmarkStart w:id="0" w:name="_Hlt448930105"/>
      <w:bookmarkEnd w:id="0"/>
      <w:bookmarkStart w:id="1" w:name="_Hlt450039480"/>
      <w:bookmarkEnd w:id="1"/>
      <w:bookmarkStart w:id="2" w:name="_Hlt450051172"/>
      <w:bookmarkEnd w:id="2"/>
      <w:bookmarkStart w:id="3" w:name="_Hlt449016246"/>
      <w:bookmarkEnd w:id="3"/>
      <w:bookmarkStart w:id="4" w:name="_Hlt450066087"/>
      <w:bookmarkEnd w:id="4"/>
      <w:bookmarkStart w:id="5" w:name="_Hlt450066085"/>
      <w:bookmarkEnd w:id="5"/>
      <w:bookmarkStart w:id="6" w:name="_Ref465244136"/>
      <w:r>
        <w:rPr>
          <w:rFonts w:ascii="Arial" w:hAnsi="Arial" w:cs="Arial"/>
          <w:b/>
          <w:sz w:val="24"/>
          <w:szCs w:val="24"/>
        </w:rPr>
        <w:t>3GPP TSG-RAN WG4 Meeting #</w:t>
      </w:r>
      <w:r>
        <w:rPr>
          <w:rFonts w:ascii="Arial" w:hAnsi="Arial" w:eastAsia="宋体" w:cs="Arial"/>
          <w:b/>
          <w:sz w:val="24"/>
          <w:szCs w:val="24"/>
          <w:lang w:eastAsia="zh-CN"/>
        </w:rPr>
        <w:t>92</w:t>
      </w:r>
      <w:r>
        <w:rPr>
          <w:rFonts w:ascii="Arial" w:hAnsi="Arial" w:cs="Arial"/>
          <w:b/>
          <w:sz w:val="24"/>
          <w:szCs w:val="24"/>
        </w:rPr>
        <w:tab/>
      </w:r>
      <w:r>
        <w:rPr>
          <w:rFonts w:ascii="Arial" w:hAnsi="Arial" w:cs="Arial"/>
          <w:b/>
          <w:sz w:val="24"/>
          <w:szCs w:val="24"/>
        </w:rPr>
        <w:t>R4-19</w:t>
      </w:r>
      <w:r>
        <w:rPr>
          <w:rFonts w:hint="eastAsia" w:cs="Arial"/>
          <w:b/>
          <w:sz w:val="24"/>
          <w:szCs w:val="24"/>
          <w:lang w:val="en-US" w:eastAsia="zh-CN"/>
        </w:rPr>
        <w:t>08348</w:t>
      </w:r>
    </w:p>
    <w:p>
      <w:pPr>
        <w:pStyle w:val="37"/>
        <w:tabs>
          <w:tab w:val="right" w:pos="9781"/>
          <w:tab w:val="right" w:pos="13323"/>
        </w:tabs>
        <w:outlineLvl w:val="0"/>
        <w:rPr>
          <w:rFonts w:hint="eastAsia" w:ascii="Arial" w:hAnsi="Arial" w:eastAsia="宋体"/>
          <w:b/>
          <w:sz w:val="24"/>
          <w:szCs w:val="24"/>
          <w:lang w:eastAsia="zh-CN"/>
        </w:rPr>
      </w:pPr>
      <w:r>
        <w:rPr>
          <w:rFonts w:ascii="Arial" w:hAnsi="Arial" w:eastAsia="宋体"/>
          <w:b/>
          <w:sz w:val="24"/>
          <w:szCs w:val="24"/>
          <w:lang w:eastAsia="zh-CN"/>
        </w:rPr>
        <w:t>Ljubljana</w:t>
      </w:r>
      <w:r>
        <w:rPr>
          <w:rFonts w:hint="eastAsia" w:ascii="Arial" w:hAnsi="Arial" w:eastAsia="宋体"/>
          <w:b/>
          <w:sz w:val="24"/>
          <w:szCs w:val="24"/>
          <w:lang w:eastAsia="zh-CN"/>
        </w:rPr>
        <w:t xml:space="preserve">, </w:t>
      </w:r>
      <w:r>
        <w:rPr>
          <w:rFonts w:ascii="Arial" w:hAnsi="Arial" w:eastAsia="宋体"/>
          <w:b/>
          <w:sz w:val="24"/>
          <w:szCs w:val="24"/>
          <w:lang w:eastAsia="zh-CN"/>
        </w:rPr>
        <w:t>SI, 26</w:t>
      </w:r>
      <w:r>
        <w:rPr>
          <w:rFonts w:ascii="Arial" w:hAnsi="Arial" w:eastAsia="宋体"/>
          <w:b/>
          <w:sz w:val="24"/>
          <w:szCs w:val="24"/>
          <w:vertAlign w:val="superscript"/>
          <w:lang w:eastAsia="zh-CN"/>
        </w:rPr>
        <w:t>th</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30</w:t>
      </w:r>
      <w:r>
        <w:rPr>
          <w:rFonts w:ascii="Arial" w:hAnsi="Arial" w:eastAsia="宋体"/>
          <w:b/>
          <w:sz w:val="24"/>
          <w:szCs w:val="24"/>
          <w:vertAlign w:val="superscript"/>
          <w:lang w:eastAsia="zh-CN"/>
        </w:rPr>
        <w:t>th</w:t>
      </w:r>
      <w:r>
        <w:rPr>
          <w:rFonts w:ascii="Arial" w:hAnsi="Arial" w:eastAsia="宋体"/>
          <w:b/>
          <w:sz w:val="24"/>
          <w:szCs w:val="24"/>
          <w:lang w:eastAsia="zh-CN"/>
        </w:rPr>
        <w:t xml:space="preserve"> Aug, 2019</w:t>
      </w:r>
    </w:p>
    <w:p>
      <w:pPr>
        <w:tabs>
          <w:tab w:val="left" w:pos="1985"/>
        </w:tabs>
        <w:jc w:val="both"/>
        <w:rPr>
          <w:rFonts w:ascii="Arial" w:hAnsi="Arial" w:cs="Arial"/>
          <w:b/>
          <w:sz w:val="10"/>
          <w:szCs w:val="10"/>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on 7-24GHz co-location</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11.4.7</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default"/>
          <w:i w:val="0"/>
          <w:iCs w:val="0"/>
          <w:lang w:val="en-US" w:eastAsia="zh-CN"/>
        </w:rPr>
      </w:pPr>
      <w:r>
        <w:rPr>
          <w:rFonts w:hint="eastAsia"/>
          <w:lang w:val="en-US" w:eastAsia="zh-CN"/>
        </w:rPr>
        <w:t xml:space="preserve">Co-location requirement is quite different for FR1 and FR2 and it has been discussed in [1] in the last meeting. The requirement is based on some test results of antenna isolation, however, some mathematics modelling is preferred for further analysis. In this contribution, we give some background information to trigger the discussion before, some mathematics analysis and the comparison between them. Also two scenarios of co-location has been discussed and some observations are provided. </w:t>
      </w:r>
    </w:p>
    <w:p>
      <w:pPr>
        <w:pStyle w:val="2"/>
        <w:rPr>
          <w:rFonts w:hint="default"/>
          <w:lang w:val="en-US" w:eastAsia="zh-CN"/>
        </w:rPr>
      </w:pPr>
      <w:r>
        <w:rPr>
          <w:lang w:eastAsia="zh-CN"/>
        </w:rPr>
        <w:t>Discussion</w:t>
      </w:r>
    </w:p>
    <w:p>
      <w:pPr>
        <w:pStyle w:val="3"/>
        <w:bidi w:val="0"/>
        <w:rPr>
          <w:rFonts w:hint="default"/>
          <w:lang w:val="en-US" w:eastAsia="zh-CN"/>
        </w:rPr>
      </w:pPr>
      <w:r>
        <w:rPr>
          <w:rFonts w:hint="eastAsia"/>
          <w:lang w:val="en-US" w:eastAsia="zh-CN"/>
        </w:rPr>
        <w:t>Condcuted and OTA co-location requirement background</w:t>
      </w:r>
    </w:p>
    <w:p>
      <w:pPr>
        <w:bidi w:val="0"/>
        <w:rPr>
          <w:rFonts w:hint="default"/>
          <w:lang w:val="en-US" w:eastAsia="zh-CN"/>
        </w:rPr>
      </w:pPr>
      <w:r>
        <w:rPr>
          <w:rFonts w:hint="eastAsia"/>
          <w:lang w:val="en-US" w:eastAsia="zh-CN"/>
        </w:rPr>
        <w:t>The conducted co-location requirement is based on 30dB coupling loss between two antenna connectors. When defining the OTA co-location requirement, the co-location scenarios has been revisited to translate the existing conducted requirement to OTA requirement as defining a co-location test antenna(note as CTLA) and a distance between the BS antenna and CTLA of 10cm. This is coming from the scenarios  are shown below as figure 1:</w:t>
      </w:r>
    </w:p>
    <w:p>
      <w:pPr>
        <w:bidi w:val="0"/>
        <w:jc w:val="center"/>
      </w:pPr>
      <w:r>
        <w:drawing>
          <wp:inline distT="0" distB="0" distL="114300" distR="114300">
            <wp:extent cx="5071745" cy="1619885"/>
            <wp:effectExtent l="0" t="0" r="14605" b="1841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4"/>
                    <a:stretch>
                      <a:fillRect/>
                    </a:stretch>
                  </pic:blipFill>
                  <pic:spPr>
                    <a:xfrm>
                      <a:off x="0" y="0"/>
                      <a:ext cx="5071745" cy="1619885"/>
                    </a:xfrm>
                    <a:prstGeom prst="rect">
                      <a:avLst/>
                    </a:prstGeom>
                    <a:noFill/>
                    <a:ln>
                      <a:noFill/>
                    </a:ln>
                  </pic:spPr>
                </pic:pic>
              </a:graphicData>
            </a:graphic>
          </wp:inline>
        </w:drawing>
      </w:r>
    </w:p>
    <w:p>
      <w:pPr>
        <w:bidi w:val="0"/>
        <w:jc w:val="center"/>
        <w:rPr>
          <w:rFonts w:hint="eastAsia"/>
          <w:lang w:val="en-US" w:eastAsia="zh-CN"/>
        </w:rPr>
      </w:pPr>
      <w:r>
        <w:rPr>
          <w:rFonts w:hint="eastAsia"/>
          <w:lang w:val="en-US" w:eastAsia="zh-CN"/>
        </w:rPr>
        <w:t xml:space="preserve">Figure 1 </w:t>
      </w:r>
    </w:p>
    <w:p>
      <w:pPr>
        <w:bidi w:val="0"/>
        <w:jc w:val="left"/>
        <w:rPr>
          <w:rFonts w:hint="eastAsia" w:eastAsia="宋体"/>
          <w:lang w:val="en-US" w:eastAsia="zh-CN"/>
        </w:rPr>
      </w:pPr>
      <w:r>
        <w:rPr>
          <w:rFonts w:hint="eastAsia"/>
          <w:lang w:val="en-US" w:eastAsia="zh-CN"/>
        </w:rPr>
        <w:t xml:space="preserve">If we trigger this figure, it comes from the antenna isolation test result in [2]. The worst case of test result is scenario IV in figure 1. Three different antennas with different beamwidth and antenna gain(see below table 1) are used for testing and it is shown below in figure 2. Note that </w:t>
      </w:r>
      <w:r>
        <w:t>squares</w:t>
      </w:r>
      <w:r>
        <w:rPr>
          <w:rFonts w:hint="eastAsia"/>
          <w:lang w:val="en-US" w:eastAsia="zh-CN"/>
        </w:rPr>
        <w:t>(purple)</w:t>
      </w:r>
      <w:r>
        <w:t>, triangle</w:t>
      </w:r>
      <w:r>
        <w:rPr>
          <w:rFonts w:hint="eastAsia"/>
          <w:lang w:val="en-US" w:eastAsia="zh-CN"/>
        </w:rPr>
        <w:t>s(yellow)</w:t>
      </w:r>
      <w:r>
        <w:t xml:space="preserve"> and stars</w:t>
      </w:r>
      <w:r>
        <w:rPr>
          <w:rFonts w:hint="eastAsia"/>
          <w:lang w:val="en-US" w:eastAsia="zh-CN"/>
        </w:rPr>
        <w:t>(blue)</w:t>
      </w:r>
      <w:r>
        <w:t xml:space="preserve"> denote reference antennas A, B and C</w:t>
      </w:r>
      <w:r>
        <w:rPr>
          <w:rFonts w:hint="eastAsia"/>
          <w:lang w:val="en-US" w:eastAsia="zh-CN"/>
        </w:rPr>
        <w:t>.</w:t>
      </w:r>
    </w:p>
    <w:p>
      <w:pPr>
        <w:bidi w:val="0"/>
        <w:jc w:val="center"/>
      </w:pPr>
      <w:r>
        <w:object>
          <v:shape id="_x0000_i1025" o:spt="75" type="#_x0000_t75" style="height:152.7pt;width:153.35pt;" o:ole="t" filled="f" o:preferrelative="t" stroked="f" coordsize="21600,21600">
            <v:path/>
            <v:fill on="f" focussize="0,0"/>
            <v:stroke on="f"/>
            <v:imagedata r:id="rId6" cropleft="4376f" croptop="4392f" cropright="4376f" cropbottom="4392f" o:title=""/>
            <o:lock v:ext="edit" aspectratio="t"/>
            <w10:wrap type="none"/>
            <w10:anchorlock/>
          </v:shape>
          <o:OLEObject Type="Embed" ProgID="Excel.Sheet.8" ShapeID="_x0000_i1025" DrawAspect="Content" ObjectID="_1468075725" r:id="rId5">
            <o:LockedField>false</o:LockedField>
          </o:OLEObject>
        </w:object>
      </w:r>
    </w:p>
    <w:p>
      <w:pPr>
        <w:bidi w:val="0"/>
        <w:jc w:val="center"/>
        <w:rPr>
          <w:rFonts w:hint="default"/>
          <w:lang w:val="en-US" w:eastAsia="zh-CN"/>
        </w:rPr>
      </w:pPr>
      <w:r>
        <w:rPr>
          <w:rFonts w:hint="eastAsia"/>
          <w:lang w:val="en-US" w:eastAsia="zh-CN"/>
        </w:rPr>
        <w:t xml:space="preserve">Figure 2 Test result of antenna A(purple), B(yellow), C(blue) </w:t>
      </w:r>
    </w:p>
    <w:p>
      <w:pPr>
        <w:bidi w:val="0"/>
        <w:jc w:val="left"/>
        <w:rPr>
          <w:rFonts w:hint="eastAsia"/>
          <w:lang w:val="en-US" w:eastAsia="zh-CN"/>
        </w:rPr>
      </w:pPr>
      <w:r>
        <w:rPr>
          <w:rFonts w:hint="eastAsia"/>
          <w:lang w:val="en-US" w:eastAsia="zh-CN"/>
        </w:rPr>
        <w:t xml:space="preserve">From figure 2, the worst case is about 28dB isolation with 0.25m distance of yellow line. This is also used for OTA co-location requirements and the 0.25m distance between two antenna center is translated to 0.1m between the BS antenna and CLTA edge. As we can see, the co-location requirement is based on passive antenna at 1800MHz, so similar requirement applies to FR1 as the example frequency is 2GHz is reasonable. However, as discussed antenna isolation in FR2, the requirement for 7-24GHz should be different. </w:t>
      </w:r>
    </w:p>
    <w:p>
      <w:pPr>
        <w:bidi w:val="0"/>
        <w:jc w:val="left"/>
        <w:rPr>
          <w:rFonts w:hint="eastAsia"/>
          <w:lang w:val="en-US" w:eastAsia="zh-CN"/>
        </w:rPr>
      </w:pPr>
    </w:p>
    <w:p>
      <w:pPr>
        <w:bidi w:val="0"/>
        <w:jc w:val="center"/>
        <w:rPr>
          <w:rFonts w:hint="default"/>
          <w:lang w:val="en-US" w:eastAsia="zh-CN"/>
        </w:rPr>
      </w:pPr>
      <w:r>
        <w:rPr>
          <w:rFonts w:hint="eastAsia"/>
          <w:lang w:val="en-US" w:eastAsia="zh-CN"/>
        </w:rPr>
        <w:t>Table 1 Different test antennas for antenna isolation test</w:t>
      </w:r>
    </w:p>
    <w:tbl>
      <w:tblPr>
        <w:tblStyle w:val="52"/>
        <w:tblW w:w="8187" w:type="dxa"/>
        <w:jc w:val="center"/>
        <w:tblInd w:w="11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951"/>
        <w:gridCol w:w="2145"/>
        <w:gridCol w:w="906"/>
        <w:gridCol w:w="1522"/>
        <w:gridCol w:w="1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984" w:type="dxa"/>
            <w:tcBorders>
              <w:tl2br w:val="nil"/>
              <w:tr2bl w:val="nil"/>
            </w:tcBorders>
            <w:vAlign w:val="center"/>
          </w:tcPr>
          <w:p>
            <w:pPr>
              <w:jc w:val="center"/>
              <w:rPr>
                <w:sz w:val="20"/>
                <w:szCs w:val="20"/>
              </w:rPr>
            </w:pPr>
          </w:p>
        </w:tc>
        <w:tc>
          <w:tcPr>
            <w:tcW w:w="951" w:type="dxa"/>
            <w:tcBorders>
              <w:tl2br w:val="nil"/>
              <w:tr2bl w:val="nil"/>
            </w:tcBorders>
            <w:vAlign w:val="center"/>
          </w:tcPr>
          <w:p>
            <w:pPr>
              <w:jc w:val="center"/>
              <w:rPr>
                <w:b/>
                <w:sz w:val="20"/>
                <w:szCs w:val="20"/>
              </w:rPr>
            </w:pPr>
          </w:p>
          <w:p>
            <w:pPr>
              <w:jc w:val="center"/>
              <w:rPr>
                <w:b/>
                <w:sz w:val="20"/>
                <w:szCs w:val="20"/>
              </w:rPr>
            </w:pPr>
            <w:r>
              <w:rPr>
                <w:b/>
                <w:sz w:val="20"/>
                <w:szCs w:val="20"/>
              </w:rPr>
              <w:t>Antenna</w:t>
            </w:r>
          </w:p>
        </w:tc>
        <w:tc>
          <w:tcPr>
            <w:tcW w:w="2145" w:type="dxa"/>
            <w:tcBorders>
              <w:tl2br w:val="nil"/>
              <w:tr2bl w:val="nil"/>
            </w:tcBorders>
            <w:vAlign w:val="center"/>
          </w:tcPr>
          <w:p>
            <w:pPr>
              <w:jc w:val="center"/>
              <w:rPr>
                <w:b/>
                <w:sz w:val="20"/>
                <w:szCs w:val="20"/>
              </w:rPr>
            </w:pPr>
            <w:r>
              <w:rPr>
                <w:b/>
                <w:sz w:val="20"/>
                <w:szCs w:val="20"/>
              </w:rPr>
              <w:t>Horizontal beamwidth</w:t>
            </w:r>
          </w:p>
        </w:tc>
        <w:tc>
          <w:tcPr>
            <w:tcW w:w="906" w:type="dxa"/>
            <w:tcBorders>
              <w:tl2br w:val="nil"/>
              <w:tr2bl w:val="nil"/>
            </w:tcBorders>
            <w:vAlign w:val="center"/>
          </w:tcPr>
          <w:p>
            <w:pPr>
              <w:jc w:val="center"/>
              <w:rPr>
                <w:b/>
                <w:sz w:val="20"/>
                <w:szCs w:val="20"/>
              </w:rPr>
            </w:pPr>
          </w:p>
          <w:p>
            <w:pPr>
              <w:jc w:val="center"/>
              <w:rPr>
                <w:b/>
                <w:sz w:val="20"/>
                <w:szCs w:val="20"/>
              </w:rPr>
            </w:pPr>
            <w:r>
              <w:rPr>
                <w:b/>
                <w:sz w:val="20"/>
                <w:szCs w:val="20"/>
              </w:rPr>
              <w:t>Gain</w:t>
            </w:r>
          </w:p>
        </w:tc>
        <w:tc>
          <w:tcPr>
            <w:tcW w:w="1522" w:type="dxa"/>
            <w:tcBorders>
              <w:tl2br w:val="nil"/>
              <w:tr2bl w:val="nil"/>
            </w:tcBorders>
            <w:vAlign w:val="center"/>
          </w:tcPr>
          <w:p>
            <w:pPr>
              <w:jc w:val="center"/>
              <w:rPr>
                <w:b/>
                <w:sz w:val="20"/>
                <w:szCs w:val="20"/>
              </w:rPr>
            </w:pPr>
          </w:p>
          <w:p>
            <w:pPr>
              <w:jc w:val="center"/>
              <w:rPr>
                <w:b/>
                <w:sz w:val="20"/>
                <w:szCs w:val="20"/>
              </w:rPr>
            </w:pPr>
            <w:r>
              <w:rPr>
                <w:b/>
                <w:sz w:val="20"/>
                <w:szCs w:val="20"/>
              </w:rPr>
              <w:t>Polarisation</w:t>
            </w:r>
          </w:p>
        </w:tc>
        <w:tc>
          <w:tcPr>
            <w:tcW w:w="1679" w:type="dxa"/>
            <w:tcBorders>
              <w:tl2br w:val="nil"/>
              <w:tr2bl w:val="nil"/>
            </w:tcBorders>
            <w:vAlign w:val="center"/>
          </w:tcPr>
          <w:p>
            <w:pPr>
              <w:jc w:val="center"/>
              <w:rPr>
                <w:b/>
                <w:sz w:val="20"/>
                <w:szCs w:val="20"/>
              </w:rPr>
            </w:pPr>
          </w:p>
          <w:p>
            <w:pPr>
              <w:jc w:val="center"/>
              <w:rPr>
                <w:b/>
                <w:sz w:val="20"/>
                <w:szCs w:val="20"/>
              </w:rPr>
            </w:pPr>
            <w:r>
              <w:rPr>
                <w:b/>
                <w:sz w:val="20"/>
                <w:szCs w:val="20"/>
              </w:rPr>
              <w:t>Frequency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984" w:type="dxa"/>
            <w:tcBorders>
              <w:tl2br w:val="nil"/>
              <w:tr2bl w:val="nil"/>
            </w:tcBorders>
            <w:vAlign w:val="center"/>
          </w:tcPr>
          <w:p>
            <w:pPr>
              <w:jc w:val="center"/>
              <w:rPr>
                <w:b/>
                <w:sz w:val="20"/>
                <w:szCs w:val="20"/>
              </w:rPr>
            </w:pPr>
            <w:r>
              <w:rPr>
                <w:b/>
                <w:sz w:val="20"/>
                <w:szCs w:val="20"/>
              </w:rPr>
              <w:t>Vert. Pol</w:t>
            </w:r>
          </w:p>
        </w:tc>
        <w:tc>
          <w:tcPr>
            <w:tcW w:w="951" w:type="dxa"/>
            <w:tcBorders>
              <w:tl2br w:val="nil"/>
              <w:tr2bl w:val="nil"/>
            </w:tcBorders>
            <w:vAlign w:val="center"/>
          </w:tcPr>
          <w:p>
            <w:pPr>
              <w:jc w:val="center"/>
              <w:rPr>
                <w:sz w:val="20"/>
                <w:szCs w:val="20"/>
              </w:rPr>
            </w:pPr>
            <w:r>
              <w:rPr>
                <w:sz w:val="20"/>
                <w:szCs w:val="20"/>
              </w:rPr>
              <w:t>A</w:t>
            </w:r>
          </w:p>
        </w:tc>
        <w:tc>
          <w:tcPr>
            <w:tcW w:w="2145" w:type="dxa"/>
            <w:tcBorders>
              <w:tl2br w:val="nil"/>
              <w:tr2bl w:val="nil"/>
            </w:tcBorders>
            <w:vAlign w:val="center"/>
          </w:tcPr>
          <w:p>
            <w:pPr>
              <w:jc w:val="center"/>
              <w:rPr>
                <w:sz w:val="20"/>
                <w:szCs w:val="20"/>
              </w:rPr>
            </w:pPr>
            <w:r>
              <w:rPr>
                <w:sz w:val="20"/>
                <w:szCs w:val="20"/>
              </w:rPr>
              <w:t>65º</w:t>
            </w:r>
          </w:p>
        </w:tc>
        <w:tc>
          <w:tcPr>
            <w:tcW w:w="906" w:type="dxa"/>
            <w:tcBorders>
              <w:tl2br w:val="nil"/>
              <w:tr2bl w:val="nil"/>
            </w:tcBorders>
            <w:vAlign w:val="center"/>
          </w:tcPr>
          <w:p>
            <w:pPr>
              <w:jc w:val="center"/>
              <w:rPr>
                <w:sz w:val="20"/>
                <w:szCs w:val="20"/>
              </w:rPr>
            </w:pPr>
            <w:r>
              <w:rPr>
                <w:sz w:val="20"/>
                <w:szCs w:val="20"/>
              </w:rPr>
              <w:t>18 dBi</w:t>
            </w:r>
          </w:p>
        </w:tc>
        <w:tc>
          <w:tcPr>
            <w:tcW w:w="1522" w:type="dxa"/>
            <w:tcBorders>
              <w:tl2br w:val="nil"/>
              <w:tr2bl w:val="nil"/>
            </w:tcBorders>
            <w:vAlign w:val="center"/>
          </w:tcPr>
          <w:p>
            <w:pPr>
              <w:jc w:val="center"/>
              <w:rPr>
                <w:sz w:val="20"/>
                <w:szCs w:val="20"/>
              </w:rPr>
            </w:pPr>
            <w:r>
              <w:rPr>
                <w:sz w:val="20"/>
                <w:szCs w:val="20"/>
              </w:rPr>
              <w:t>Vertically linear</w:t>
            </w:r>
          </w:p>
        </w:tc>
        <w:tc>
          <w:tcPr>
            <w:tcW w:w="1679" w:type="dxa"/>
            <w:tcBorders>
              <w:tl2br w:val="nil"/>
              <w:tr2bl w:val="nil"/>
            </w:tcBorders>
            <w:vAlign w:val="center"/>
          </w:tcPr>
          <w:p>
            <w:pPr>
              <w:jc w:val="center"/>
              <w:rPr>
                <w:sz w:val="20"/>
                <w:szCs w:val="20"/>
              </w:rPr>
            </w:pPr>
            <w:r>
              <w:rPr>
                <w:sz w:val="20"/>
                <w:szCs w:val="20"/>
              </w:rPr>
              <w:t>1710 – 1880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984" w:type="dxa"/>
            <w:tcBorders>
              <w:tl2br w:val="nil"/>
              <w:tr2bl w:val="nil"/>
            </w:tcBorders>
            <w:vAlign w:val="center"/>
          </w:tcPr>
          <w:p>
            <w:pPr>
              <w:jc w:val="center"/>
              <w:rPr>
                <w:b/>
                <w:sz w:val="20"/>
                <w:szCs w:val="20"/>
              </w:rPr>
            </w:pPr>
          </w:p>
        </w:tc>
        <w:tc>
          <w:tcPr>
            <w:tcW w:w="951" w:type="dxa"/>
            <w:tcBorders>
              <w:tl2br w:val="nil"/>
              <w:tr2bl w:val="nil"/>
            </w:tcBorders>
            <w:vAlign w:val="center"/>
          </w:tcPr>
          <w:p>
            <w:pPr>
              <w:jc w:val="center"/>
              <w:rPr>
                <w:sz w:val="20"/>
                <w:szCs w:val="20"/>
              </w:rPr>
            </w:pPr>
            <w:r>
              <w:rPr>
                <w:sz w:val="20"/>
                <w:szCs w:val="20"/>
              </w:rPr>
              <w:t>B</w:t>
            </w:r>
          </w:p>
        </w:tc>
        <w:tc>
          <w:tcPr>
            <w:tcW w:w="2145" w:type="dxa"/>
            <w:tcBorders>
              <w:tl2br w:val="nil"/>
              <w:tr2bl w:val="nil"/>
            </w:tcBorders>
            <w:vAlign w:val="center"/>
          </w:tcPr>
          <w:p>
            <w:pPr>
              <w:jc w:val="center"/>
              <w:rPr>
                <w:sz w:val="20"/>
                <w:szCs w:val="20"/>
              </w:rPr>
            </w:pPr>
            <w:r>
              <w:rPr>
                <w:sz w:val="20"/>
                <w:szCs w:val="20"/>
              </w:rPr>
              <w:t>90º</w:t>
            </w:r>
          </w:p>
        </w:tc>
        <w:tc>
          <w:tcPr>
            <w:tcW w:w="906" w:type="dxa"/>
            <w:tcBorders>
              <w:tl2br w:val="nil"/>
              <w:tr2bl w:val="nil"/>
            </w:tcBorders>
            <w:vAlign w:val="center"/>
          </w:tcPr>
          <w:p>
            <w:pPr>
              <w:jc w:val="center"/>
              <w:rPr>
                <w:sz w:val="20"/>
                <w:szCs w:val="20"/>
              </w:rPr>
            </w:pPr>
            <w:r>
              <w:rPr>
                <w:sz w:val="20"/>
                <w:szCs w:val="20"/>
              </w:rPr>
              <w:t>16 dBi</w:t>
            </w:r>
          </w:p>
        </w:tc>
        <w:tc>
          <w:tcPr>
            <w:tcW w:w="1522" w:type="dxa"/>
            <w:tcBorders>
              <w:tl2br w:val="nil"/>
              <w:tr2bl w:val="nil"/>
            </w:tcBorders>
            <w:vAlign w:val="center"/>
          </w:tcPr>
          <w:p>
            <w:pPr>
              <w:jc w:val="center"/>
              <w:rPr>
                <w:sz w:val="20"/>
                <w:szCs w:val="20"/>
              </w:rPr>
            </w:pPr>
            <w:r>
              <w:rPr>
                <w:sz w:val="20"/>
                <w:szCs w:val="20"/>
              </w:rPr>
              <w:t>Vertically linear</w:t>
            </w:r>
          </w:p>
        </w:tc>
        <w:tc>
          <w:tcPr>
            <w:tcW w:w="1679" w:type="dxa"/>
            <w:tcBorders>
              <w:tl2br w:val="nil"/>
              <w:tr2bl w:val="nil"/>
            </w:tcBorders>
            <w:vAlign w:val="center"/>
          </w:tcPr>
          <w:p>
            <w:pPr>
              <w:jc w:val="center"/>
              <w:rPr>
                <w:sz w:val="20"/>
                <w:szCs w:val="20"/>
              </w:rPr>
            </w:pPr>
            <w:r>
              <w:rPr>
                <w:sz w:val="20"/>
                <w:szCs w:val="20"/>
              </w:rPr>
              <w:t>1710 – 1880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984" w:type="dxa"/>
            <w:tcBorders>
              <w:tl2br w:val="nil"/>
              <w:tr2bl w:val="nil"/>
            </w:tcBorders>
            <w:vAlign w:val="center"/>
          </w:tcPr>
          <w:p>
            <w:pPr>
              <w:jc w:val="center"/>
              <w:rPr>
                <w:b/>
                <w:sz w:val="20"/>
                <w:szCs w:val="20"/>
              </w:rPr>
            </w:pPr>
          </w:p>
        </w:tc>
        <w:tc>
          <w:tcPr>
            <w:tcW w:w="951" w:type="dxa"/>
            <w:tcBorders>
              <w:tl2br w:val="nil"/>
              <w:tr2bl w:val="nil"/>
            </w:tcBorders>
            <w:vAlign w:val="center"/>
          </w:tcPr>
          <w:p>
            <w:pPr>
              <w:jc w:val="center"/>
              <w:rPr>
                <w:sz w:val="20"/>
                <w:szCs w:val="20"/>
              </w:rPr>
            </w:pPr>
            <w:r>
              <w:rPr>
                <w:sz w:val="20"/>
                <w:szCs w:val="20"/>
              </w:rPr>
              <w:t>C</w:t>
            </w:r>
          </w:p>
        </w:tc>
        <w:tc>
          <w:tcPr>
            <w:tcW w:w="2145" w:type="dxa"/>
            <w:tcBorders>
              <w:tl2br w:val="nil"/>
              <w:tr2bl w:val="nil"/>
            </w:tcBorders>
            <w:vAlign w:val="center"/>
          </w:tcPr>
          <w:p>
            <w:pPr>
              <w:jc w:val="center"/>
              <w:rPr>
                <w:sz w:val="20"/>
                <w:szCs w:val="20"/>
              </w:rPr>
            </w:pPr>
            <w:r>
              <w:rPr>
                <w:sz w:val="20"/>
                <w:szCs w:val="20"/>
              </w:rPr>
              <w:t>90º</w:t>
            </w:r>
          </w:p>
        </w:tc>
        <w:tc>
          <w:tcPr>
            <w:tcW w:w="906" w:type="dxa"/>
            <w:tcBorders>
              <w:tl2br w:val="nil"/>
              <w:tr2bl w:val="nil"/>
            </w:tcBorders>
            <w:vAlign w:val="center"/>
          </w:tcPr>
          <w:p>
            <w:pPr>
              <w:jc w:val="center"/>
              <w:rPr>
                <w:sz w:val="20"/>
                <w:szCs w:val="20"/>
              </w:rPr>
            </w:pPr>
            <w:r>
              <w:rPr>
                <w:sz w:val="20"/>
                <w:szCs w:val="20"/>
              </w:rPr>
              <w:t>17.5 dBi</w:t>
            </w:r>
          </w:p>
        </w:tc>
        <w:tc>
          <w:tcPr>
            <w:tcW w:w="1522" w:type="dxa"/>
            <w:tcBorders>
              <w:tl2br w:val="nil"/>
              <w:tr2bl w:val="nil"/>
            </w:tcBorders>
            <w:vAlign w:val="center"/>
          </w:tcPr>
          <w:p>
            <w:pPr>
              <w:jc w:val="center"/>
              <w:rPr>
                <w:sz w:val="20"/>
                <w:szCs w:val="20"/>
              </w:rPr>
            </w:pPr>
            <w:r>
              <w:rPr>
                <w:sz w:val="20"/>
                <w:szCs w:val="20"/>
              </w:rPr>
              <w:t>Vertically linear</w:t>
            </w:r>
          </w:p>
        </w:tc>
        <w:tc>
          <w:tcPr>
            <w:tcW w:w="1679" w:type="dxa"/>
            <w:tcBorders>
              <w:tl2br w:val="nil"/>
              <w:tr2bl w:val="nil"/>
            </w:tcBorders>
            <w:vAlign w:val="center"/>
          </w:tcPr>
          <w:p>
            <w:pPr>
              <w:jc w:val="center"/>
              <w:rPr>
                <w:sz w:val="20"/>
                <w:szCs w:val="20"/>
              </w:rPr>
            </w:pPr>
            <w:r>
              <w:rPr>
                <w:sz w:val="20"/>
                <w:szCs w:val="20"/>
              </w:rPr>
              <w:t>1710 – 1880 MHz</w:t>
            </w:r>
          </w:p>
        </w:tc>
      </w:tr>
    </w:tbl>
    <w:p>
      <w:pPr>
        <w:bidi w:val="0"/>
        <w:jc w:val="center"/>
        <w:rPr>
          <w:rFonts w:hint="default"/>
          <w:lang w:val="en-US" w:eastAsia="zh-CN"/>
        </w:rPr>
      </w:pPr>
    </w:p>
    <w:p>
      <w:pPr>
        <w:pStyle w:val="3"/>
        <w:bidi w:val="0"/>
        <w:rPr>
          <w:rFonts w:hint="eastAsia"/>
          <w:lang w:val="en-US" w:eastAsia="zh-CN"/>
        </w:rPr>
      </w:pPr>
      <w:r>
        <w:rPr>
          <w:rFonts w:hint="eastAsia"/>
          <w:lang w:val="en-US" w:eastAsia="zh-CN"/>
        </w:rPr>
        <w:t xml:space="preserve">Antenna isolation </w:t>
      </w:r>
    </w:p>
    <w:p>
      <w:pPr>
        <w:rPr>
          <w:rFonts w:hint="eastAsia"/>
          <w:lang w:val="en-US" w:eastAsia="zh-CN"/>
        </w:rPr>
      </w:pPr>
      <w:r>
        <w:rPr>
          <w:rFonts w:hint="eastAsia"/>
          <w:lang w:val="en-US" w:eastAsia="zh-CN"/>
        </w:rPr>
        <w:t>The antenna isolation is studied in [3] based on Friis formula. Detail analysis is omitted, the result is shown as equation 1 below:</w:t>
      </w:r>
    </w:p>
    <w:p>
      <w:pPr>
        <w:pStyle w:val="129"/>
        <w:rPr>
          <w:lang w:eastAsia="zh-CN"/>
        </w:rPr>
      </w:pPr>
      <w:r>
        <w:rPr>
          <w:i/>
        </w:rPr>
        <w:tab/>
      </w:r>
      <w:r>
        <w:rPr>
          <w:i/>
        </w:rPr>
        <w:tab/>
      </w:r>
      <w:r>
        <w:rPr>
          <w:i/>
        </w:rPr>
        <w:t>I</w:t>
      </w:r>
      <w:r>
        <w:rPr>
          <w:i/>
          <w:szCs w:val="21"/>
          <w:vertAlign w:val="subscript"/>
          <w:lang w:eastAsia="zh-CN"/>
        </w:rPr>
        <w:t>H</w:t>
      </w:r>
      <w:r>
        <w:rPr>
          <w:lang w:eastAsia="zh-CN"/>
        </w:rPr>
        <w:t>[dB]</w:t>
      </w:r>
      <w:r>
        <w:rPr>
          <w:i/>
        </w:rPr>
        <w:t xml:space="preserve">= </w:t>
      </w:r>
      <w:r>
        <w:rPr>
          <w:lang w:eastAsia="zh-CN"/>
        </w:rPr>
        <w:t>22+20lg (</w:t>
      </w:r>
      <w:r>
        <w:rPr>
          <w:i/>
          <w:lang w:eastAsia="zh-CN"/>
        </w:rPr>
        <w:t>d</w:t>
      </w:r>
      <w:r>
        <w:rPr>
          <w:i/>
          <w:szCs w:val="24"/>
          <w:vertAlign w:val="subscript"/>
          <w:lang w:eastAsia="zh-CN"/>
        </w:rPr>
        <w:t>h</w:t>
      </w:r>
      <w:r>
        <w:rPr>
          <w:lang w:eastAsia="zh-CN"/>
        </w:rPr>
        <w:t>/</w:t>
      </w:r>
      <w:r>
        <w:rPr>
          <w:rFonts w:hint="eastAsia" w:ascii="宋体" w:eastAsia="宋体"/>
          <w:szCs w:val="24"/>
          <w:lang w:eastAsia="zh-CN"/>
        </w:rPr>
        <w:t>λ</w:t>
      </w:r>
      <w:r>
        <w:rPr>
          <w:lang w:eastAsia="zh-CN"/>
        </w:rPr>
        <w:t>)-(</w:t>
      </w:r>
      <w:r>
        <w:rPr>
          <w:i/>
          <w:lang w:eastAsia="zh-CN"/>
        </w:rPr>
        <w:t>G</w:t>
      </w:r>
      <w:r>
        <w:rPr>
          <w:i/>
          <w:szCs w:val="21"/>
          <w:vertAlign w:val="subscript"/>
          <w:lang w:eastAsia="zh-CN"/>
        </w:rPr>
        <w:t>Tx</w:t>
      </w:r>
      <w:r>
        <w:rPr>
          <w:lang w:eastAsia="zh-CN"/>
        </w:rPr>
        <w:t>+</w:t>
      </w:r>
      <w:r>
        <w:rPr>
          <w:i/>
          <w:lang w:eastAsia="zh-CN"/>
        </w:rPr>
        <w:t>G</w:t>
      </w:r>
      <w:r>
        <w:rPr>
          <w:i/>
          <w:szCs w:val="21"/>
          <w:vertAlign w:val="subscript"/>
          <w:lang w:eastAsia="zh-CN"/>
        </w:rPr>
        <w:t>Rx</w:t>
      </w:r>
      <w:r>
        <w:rPr>
          <w:lang w:eastAsia="zh-CN"/>
        </w:rPr>
        <w:t>)</w:t>
      </w:r>
      <w:r>
        <w:t xml:space="preserve">- </w:t>
      </w:r>
      <w:r>
        <w:rPr>
          <w:lang w:eastAsia="zh-CN"/>
        </w:rPr>
        <w:t>(</w:t>
      </w:r>
      <w:r>
        <w:rPr>
          <w:i/>
          <w:lang w:eastAsia="zh-CN"/>
        </w:rPr>
        <w:t>S</w:t>
      </w:r>
      <w:r>
        <w:rPr>
          <w:i/>
        </w:rPr>
        <w:t>L</w:t>
      </w:r>
      <w:r>
        <w:rPr>
          <w:lang w:eastAsia="zh-CN"/>
        </w:rPr>
        <w:t>(</w:t>
      </w:r>
      <w:r>
        <w:rPr>
          <w:rFonts w:hint="eastAsia" w:ascii="宋体" w:eastAsia="宋体"/>
          <w:lang w:eastAsia="zh-CN"/>
        </w:rPr>
        <w:t>ρ</w:t>
      </w:r>
      <w:r>
        <w:rPr>
          <w:lang w:eastAsia="zh-CN"/>
        </w:rPr>
        <w:t>)</w:t>
      </w:r>
      <w:r>
        <w:rPr>
          <w:i/>
          <w:szCs w:val="21"/>
          <w:vertAlign w:val="subscript"/>
        </w:rPr>
        <w:t>Tx</w:t>
      </w:r>
      <w:r>
        <w:rPr>
          <w:i/>
          <w:lang w:eastAsia="zh-CN"/>
        </w:rPr>
        <w:t>+ S</w:t>
      </w:r>
      <w:r>
        <w:rPr>
          <w:i/>
        </w:rPr>
        <w:t>L</w:t>
      </w:r>
      <w:r>
        <w:rPr>
          <w:lang w:eastAsia="zh-CN"/>
        </w:rPr>
        <w:t>(</w:t>
      </w:r>
      <w:r>
        <w:rPr>
          <w:rFonts w:hint="eastAsia" w:ascii="宋体" w:eastAsia="宋体"/>
          <w:lang w:eastAsia="zh-CN"/>
        </w:rPr>
        <w:t>θ</w:t>
      </w:r>
      <w:r>
        <w:rPr>
          <w:lang w:eastAsia="zh-CN"/>
        </w:rPr>
        <w:t>)</w:t>
      </w:r>
      <w:r>
        <w:rPr>
          <w:i/>
          <w:szCs w:val="21"/>
          <w:vertAlign w:val="subscript"/>
          <w:lang w:eastAsia="zh-CN"/>
        </w:rPr>
        <w:t>R</w:t>
      </w:r>
      <w:r>
        <w:rPr>
          <w:i/>
          <w:szCs w:val="21"/>
          <w:vertAlign w:val="subscript"/>
        </w:rPr>
        <w:t>x</w:t>
      </w:r>
      <w:r>
        <w:rPr>
          <w:lang w:eastAsia="zh-CN"/>
        </w:rPr>
        <w:t>)</w:t>
      </w:r>
      <w:r>
        <w:rPr>
          <w:lang w:eastAsia="zh-CN"/>
        </w:rPr>
        <w:tab/>
      </w:r>
      <w:r>
        <w:rPr>
          <w:lang w:eastAsia="zh-CN"/>
        </w:rPr>
        <w:t>(</w:t>
      </w:r>
      <w:r>
        <w:rPr>
          <w:rFonts w:hint="eastAsia"/>
          <w:lang w:val="en-US" w:eastAsia="zh-CN"/>
        </w:rPr>
        <w:t>1</w:t>
      </w:r>
      <w:r>
        <w:rPr>
          <w:lang w:eastAsia="zh-CN"/>
        </w:rPr>
        <w:t>)</w:t>
      </w:r>
    </w:p>
    <w:p>
      <w:pPr>
        <w:rPr>
          <w:rFonts w:hint="default"/>
          <w:lang w:val="en-US" w:eastAsia="zh-CN"/>
        </w:rPr>
      </w:pPr>
      <w:r>
        <w:rPr>
          <w:rFonts w:hint="eastAsia"/>
          <w:lang w:val="en-US" w:eastAsia="zh-CN"/>
        </w:rPr>
        <w:t>The above equation one is based on the scenarios when two base station antenna main lobe pointing to each other as shown in figure 3 below. Another critical requirement is the far-field requirement as the distance between two antenna d</w:t>
      </w:r>
      <w:r>
        <w:rPr>
          <w:rFonts w:hint="eastAsia"/>
          <w:vertAlign w:val="subscript"/>
          <w:lang w:val="en-US" w:eastAsia="zh-CN"/>
        </w:rPr>
        <w:t>h</w:t>
      </w:r>
      <w:r>
        <w:rPr>
          <w:rFonts w:hint="eastAsia"/>
          <w:lang w:val="en-US" w:eastAsia="zh-CN"/>
        </w:rPr>
        <w:t xml:space="preserve"> should fulfill the far field requirement as d</w:t>
      </w:r>
      <w:r>
        <w:rPr>
          <w:rFonts w:hint="eastAsia"/>
          <w:vertAlign w:val="subscript"/>
          <w:lang w:val="en-US" w:eastAsia="zh-CN"/>
        </w:rPr>
        <w:t>h</w:t>
      </w:r>
      <w:r>
        <w:rPr>
          <w:rFonts w:hint="eastAsia"/>
          <w:lang w:val="en-US" w:eastAsia="zh-CN"/>
        </w:rPr>
        <w:t xml:space="preserve"> &gt; 2D</w:t>
      </w:r>
      <w:r>
        <w:rPr>
          <w:rFonts w:hint="eastAsia"/>
          <w:vertAlign w:val="superscript"/>
          <w:lang w:val="en-US" w:eastAsia="zh-CN"/>
        </w:rPr>
        <w:t>2</w:t>
      </w:r>
      <w:r>
        <w:rPr>
          <w:rFonts w:hint="eastAsia"/>
          <w:lang w:val="en-US" w:eastAsia="zh-CN"/>
        </w:rPr>
        <w:t>/</w:t>
      </w:r>
      <w:r>
        <w:rPr>
          <w:rFonts w:hint="eastAsia" w:ascii="宋体" w:eastAsia="宋体"/>
          <w:szCs w:val="24"/>
          <w:lang w:eastAsia="zh-CN"/>
        </w:rPr>
        <w:t>λ</w:t>
      </w:r>
      <w:r>
        <w:rPr>
          <w:rFonts w:hint="eastAsia" w:ascii="宋体"/>
          <w:szCs w:val="24"/>
          <w:lang w:val="en-US" w:eastAsia="zh-CN"/>
        </w:rPr>
        <w:t>,</w:t>
      </w:r>
      <w:r>
        <w:rPr>
          <w:rFonts w:hint="eastAsia"/>
          <w:sz w:val="21"/>
          <w:szCs w:val="22"/>
          <w:lang w:val="en-US" w:eastAsia="zh-CN"/>
        </w:rPr>
        <w:t xml:space="preserve"> where </w:t>
      </w:r>
      <w:r>
        <w:rPr>
          <w:rFonts w:hint="eastAsia" w:ascii="宋体" w:eastAsia="宋体"/>
          <w:szCs w:val="24"/>
          <w:lang w:eastAsia="zh-CN"/>
        </w:rPr>
        <w:t>λ</w:t>
      </w:r>
      <w:r>
        <w:rPr>
          <w:rFonts w:hint="eastAsia" w:ascii="宋体"/>
          <w:szCs w:val="24"/>
          <w:lang w:val="en-US" w:eastAsia="zh-CN"/>
        </w:rPr>
        <w:t xml:space="preserve"> </w:t>
      </w:r>
      <w:r>
        <w:rPr>
          <w:rFonts w:hint="eastAsia"/>
          <w:sz w:val="21"/>
          <w:szCs w:val="22"/>
          <w:lang w:val="en-US" w:eastAsia="zh-CN"/>
        </w:rPr>
        <w:t>is the wavelength and D is the radiating part diameter.</w:t>
      </w:r>
    </w:p>
    <w:p>
      <w:pPr>
        <w:jc w:val="center"/>
        <w:rPr>
          <w:color w:val="0000FF"/>
        </w:rPr>
      </w:pPr>
      <w:r>
        <w:rPr>
          <w:color w:val="0000FF"/>
        </w:rPr>
        <w:object>
          <v:shape id="_x0000_i1026" o:spt="75" type="#_x0000_t75" style="height:106.9pt;width:182.85pt;" o:ole="t" filled="f" o:preferrelative="t" stroked="f" coordsize="21600,21600">
            <v:path/>
            <v:fill on="f" focussize="0,0"/>
            <v:stroke on="f"/>
            <v:imagedata r:id="rId8" o:title=""/>
            <o:lock v:ext="edit" aspectratio="t"/>
            <w10:wrap type="none"/>
            <w10:anchorlock/>
          </v:shape>
          <o:OLEObject Type="Embed" ProgID="Visio.Drawing.11" ShapeID="_x0000_i1026" DrawAspect="Content" ObjectID="_1468075726" r:id="rId7">
            <o:LockedField>false</o:LockedField>
          </o:OLEObject>
        </w:object>
      </w:r>
    </w:p>
    <w:p>
      <w:pPr>
        <w:bidi w:val="0"/>
        <w:jc w:val="center"/>
        <w:rPr>
          <w:rFonts w:hint="default"/>
          <w:lang w:val="en-US" w:eastAsia="zh-CN"/>
        </w:rPr>
      </w:pPr>
      <w:r>
        <w:rPr>
          <w:rFonts w:hint="eastAsia"/>
          <w:lang w:val="en-US" w:eastAsia="zh-CN"/>
        </w:rPr>
        <w:t>Figure 3 illustration of co-location scenario for equation 1</w:t>
      </w:r>
    </w:p>
    <w:p>
      <w:pPr>
        <w:rPr>
          <w:rFonts w:hint="default"/>
          <w:sz w:val="21"/>
          <w:szCs w:val="22"/>
          <w:lang w:val="en-US" w:eastAsia="zh-CN"/>
        </w:rPr>
      </w:pPr>
      <w:r>
        <w:rPr>
          <w:rFonts w:hint="default"/>
          <w:sz w:val="21"/>
          <w:szCs w:val="22"/>
          <w:lang w:val="en-US" w:eastAsia="zh-CN"/>
        </w:rPr>
        <w:tab/>
      </w:r>
      <w:r>
        <w:rPr>
          <w:rFonts w:hint="default"/>
          <w:sz w:val="21"/>
          <w:szCs w:val="22"/>
          <w:lang w:val="en-US" w:eastAsia="zh-CN"/>
        </w:rPr>
        <w:t>GTx[dBi]:</w:t>
      </w:r>
      <w:r>
        <w:rPr>
          <w:rFonts w:hint="default"/>
          <w:sz w:val="21"/>
          <w:szCs w:val="22"/>
          <w:lang w:val="en-US" w:eastAsia="zh-CN"/>
        </w:rPr>
        <w:tab/>
      </w:r>
      <w:r>
        <w:rPr>
          <w:rFonts w:hint="default"/>
          <w:sz w:val="21"/>
          <w:szCs w:val="22"/>
          <w:lang w:val="en-US" w:eastAsia="zh-CN"/>
        </w:rPr>
        <w:t>maximum gain of the transmitter antenna with respect to an isotropic antenna (dBi);</w:t>
      </w:r>
    </w:p>
    <w:p>
      <w:pPr>
        <w:ind w:firstLine="280" w:firstLineChars="0"/>
        <w:rPr>
          <w:rFonts w:hint="default"/>
          <w:sz w:val="21"/>
          <w:szCs w:val="22"/>
          <w:lang w:val="en-US" w:eastAsia="zh-CN"/>
        </w:rPr>
      </w:pPr>
      <w:r>
        <w:rPr>
          <w:rFonts w:hint="default"/>
          <w:sz w:val="21"/>
          <w:szCs w:val="22"/>
          <w:lang w:val="en-US" w:eastAsia="zh-CN"/>
        </w:rPr>
        <w:t>GRx[dBi]:</w:t>
      </w:r>
      <w:r>
        <w:rPr>
          <w:rFonts w:hint="default"/>
          <w:sz w:val="21"/>
          <w:szCs w:val="22"/>
          <w:lang w:val="en-US" w:eastAsia="zh-CN"/>
        </w:rPr>
        <w:tab/>
      </w:r>
      <w:r>
        <w:rPr>
          <w:rFonts w:hint="default"/>
          <w:sz w:val="21"/>
          <w:szCs w:val="22"/>
          <w:lang w:val="en-US" w:eastAsia="zh-CN"/>
        </w:rPr>
        <w:t>maximum gain of the receiver antenna with respect to an isotropic antenna (dBi);</w:t>
      </w:r>
    </w:p>
    <w:p>
      <w:pPr>
        <w:rPr>
          <w:rFonts w:hint="default"/>
          <w:sz w:val="21"/>
          <w:szCs w:val="22"/>
          <w:lang w:val="en-US" w:eastAsia="zh-CN"/>
        </w:rPr>
      </w:pPr>
      <w:r>
        <w:rPr>
          <w:rFonts w:hint="default"/>
          <w:sz w:val="21"/>
          <w:szCs w:val="22"/>
          <w:lang w:val="en-US" w:eastAsia="zh-CN"/>
        </w:rPr>
        <w:tab/>
      </w:r>
      <w:r>
        <w:rPr>
          <w:rFonts w:hint="default"/>
          <w:sz w:val="21"/>
          <w:szCs w:val="22"/>
          <w:lang w:val="en-US" w:eastAsia="zh-CN"/>
        </w:rPr>
        <w:t>SL(ρ)Tx[dB]:</w:t>
      </w:r>
      <w:r>
        <w:rPr>
          <w:rFonts w:hint="default"/>
          <w:sz w:val="21"/>
          <w:szCs w:val="22"/>
          <w:lang w:val="en-US" w:eastAsia="zh-CN"/>
        </w:rPr>
        <w:tab/>
      </w:r>
      <w:r>
        <w:rPr>
          <w:rFonts w:hint="default"/>
          <w:sz w:val="21"/>
          <w:szCs w:val="22"/>
          <w:lang w:val="en-US" w:eastAsia="zh-CN"/>
        </w:rPr>
        <w:t>gain of the side-lobe with respect to the main-lobe of the transmitter antenna (negative val</w:t>
      </w:r>
      <w:r>
        <w:rPr>
          <w:rFonts w:hint="eastAsia"/>
          <w:sz w:val="21"/>
          <w:szCs w:val="22"/>
          <w:lang w:val="en-US" w:eastAsia="zh-CN"/>
        </w:rPr>
        <w:t>ue)</w:t>
      </w:r>
    </w:p>
    <w:p>
      <w:pPr>
        <w:ind w:firstLine="280" w:firstLineChars="0"/>
        <w:rPr>
          <w:rFonts w:hint="default"/>
          <w:sz w:val="21"/>
          <w:szCs w:val="22"/>
          <w:lang w:val="en-US" w:eastAsia="zh-CN"/>
        </w:rPr>
      </w:pPr>
      <w:r>
        <w:rPr>
          <w:rFonts w:hint="default"/>
          <w:sz w:val="21"/>
          <w:szCs w:val="22"/>
          <w:lang w:val="en-US" w:eastAsia="zh-CN"/>
        </w:rPr>
        <w:t>SL(θ)Rx[dB]:</w:t>
      </w:r>
      <w:r>
        <w:rPr>
          <w:rFonts w:hint="default"/>
          <w:sz w:val="21"/>
          <w:szCs w:val="22"/>
          <w:lang w:val="en-US" w:eastAsia="zh-CN"/>
        </w:rPr>
        <w:tab/>
      </w:r>
      <w:r>
        <w:rPr>
          <w:rFonts w:hint="default"/>
          <w:sz w:val="21"/>
          <w:szCs w:val="22"/>
          <w:lang w:val="en-US" w:eastAsia="zh-CN"/>
        </w:rPr>
        <w:t>gain of the side-lobe with respect to the main-lobe of the receiver antenna (negative value)</w:t>
      </w:r>
    </w:p>
    <w:p>
      <w:pPr>
        <w:bidi w:val="0"/>
        <w:rPr>
          <w:rFonts w:hint="eastAsia"/>
          <w:lang w:val="en-US" w:eastAsia="zh-CN"/>
        </w:rPr>
      </w:pPr>
      <w:r>
        <w:rPr>
          <w:rFonts w:hint="eastAsia"/>
          <w:lang w:val="en-US" w:eastAsia="zh-CN"/>
        </w:rPr>
        <w:t>It is necessary to compare this mathematics model with the test result of figure 1 for further analysis. If we call back the table 1, antenna B and C are quite similar and only difference between this two antennas is the antenna gain. Looking into figure 2, antenna C(blue) whose antenna gain is 17.5dBi has higher antenna isolation than antenna B(yellow) whose antenna gain is 16dBi. This seems not reasonable as higher antenna gain means higher TX and RX gain which might cause lower isolation. But we should keep in mind that the testing co-location scenario at this time is based on scenario IV in figure 1. In this case, the side lobe of this two separate vertical polarized antenna is contributing to the isolation calculation. Antenna B with higher antenna gain is normally with lower side lobe gain than antenna C as the energy is more concentrated in the main lobe. According to equation 1, smaller side lobe gain means higher isolation, so the test result of figure 2 is matched.</w:t>
      </w:r>
    </w:p>
    <w:p>
      <w:pPr>
        <w:bidi w:val="0"/>
        <w:rPr>
          <w:rFonts w:hint="default"/>
          <w:lang w:val="en-US" w:eastAsia="zh-CN"/>
        </w:rPr>
      </w:pPr>
      <w:r>
        <w:rPr>
          <w:rFonts w:hint="eastAsia"/>
          <w:b/>
          <w:bCs/>
          <w:lang w:val="en-US" w:eastAsia="zh-CN"/>
        </w:rPr>
        <w:t>Observation 1</w:t>
      </w:r>
      <w:r>
        <w:rPr>
          <w:rFonts w:hint="eastAsia"/>
          <w:lang w:val="en-US" w:eastAsia="zh-CN"/>
        </w:rPr>
        <w:t>: Side lobe gain is used to derive the antenna isolation and equation 1 is conformed to real test result.</w:t>
      </w:r>
    </w:p>
    <w:p>
      <w:pPr>
        <w:pStyle w:val="3"/>
        <w:bidi w:val="0"/>
        <w:rPr>
          <w:rFonts w:hint="eastAsia"/>
          <w:lang w:val="en-US" w:eastAsia="zh-CN"/>
        </w:rPr>
      </w:pPr>
      <w:r>
        <w:rPr>
          <w:rFonts w:hint="eastAsia"/>
          <w:lang w:val="en-US" w:eastAsia="zh-CN"/>
        </w:rPr>
        <w:t xml:space="preserve">Co-location for 7-24 GHz </w:t>
      </w:r>
    </w:p>
    <w:p>
      <w:pPr>
        <w:bidi w:val="0"/>
        <w:rPr>
          <w:rFonts w:hint="eastAsia"/>
          <w:lang w:val="en-US" w:eastAsia="zh-CN"/>
        </w:rPr>
      </w:pPr>
      <w:r>
        <w:rPr>
          <w:rFonts w:hint="eastAsia"/>
          <w:lang w:val="en-US" w:eastAsia="zh-CN"/>
        </w:rPr>
        <w:t>The co-location scenario for 7-24GHz has been discussed in [1] as two different scenarios:</w:t>
      </w:r>
    </w:p>
    <w:p>
      <w:pPr>
        <w:numPr>
          <w:ilvl w:val="0"/>
          <w:numId w:val="7"/>
        </w:numPr>
        <w:bidi w:val="0"/>
        <w:rPr>
          <w:rFonts w:hint="eastAsia"/>
          <w:lang w:val="en-US" w:eastAsia="zh-CN"/>
        </w:rPr>
      </w:pPr>
      <w:r>
        <w:rPr>
          <w:rFonts w:hint="eastAsia"/>
          <w:lang w:val="en-US" w:eastAsia="zh-CN"/>
        </w:rPr>
        <w:t>, Within same geographical area</w:t>
      </w:r>
    </w:p>
    <w:p>
      <w:pPr>
        <w:numPr>
          <w:ilvl w:val="0"/>
          <w:numId w:val="7"/>
        </w:numPr>
        <w:bidi w:val="0"/>
        <w:rPr>
          <w:rFonts w:hint="default"/>
          <w:lang w:val="en-US" w:eastAsia="zh-CN"/>
        </w:rPr>
      </w:pPr>
      <w:r>
        <w:rPr>
          <w:rFonts w:hint="eastAsia"/>
          <w:lang w:val="en-US" w:eastAsia="zh-CN"/>
        </w:rPr>
        <w:t xml:space="preserve">, Co-sitting </w:t>
      </w:r>
    </w:p>
    <w:p>
      <w:pPr>
        <w:numPr>
          <w:ilvl w:val="0"/>
          <w:numId w:val="0"/>
        </w:numPr>
        <w:bidi w:val="0"/>
        <w:rPr>
          <w:rFonts w:hint="default"/>
          <w:lang w:val="en-US" w:eastAsia="zh-CN"/>
        </w:rPr>
      </w:pPr>
      <w:r>
        <w:rPr>
          <w:rFonts w:hint="eastAsia"/>
          <w:lang w:val="en-US" w:eastAsia="zh-CN"/>
        </w:rPr>
        <w:t>They are discussed respectively below.</w:t>
      </w:r>
    </w:p>
    <w:p>
      <w:pPr>
        <w:bidi w:val="0"/>
        <w:rPr>
          <w:rFonts w:hint="eastAsia"/>
          <w:lang w:val="en-US" w:eastAsia="zh-CN"/>
        </w:rPr>
      </w:pPr>
      <w:r>
        <w:rPr>
          <w:rFonts w:hint="eastAsia"/>
          <w:lang w:val="en-US" w:eastAsia="zh-CN"/>
        </w:rPr>
        <w:t xml:space="preserve">The co-location scenario within same geographical area as two macro base station pointing to each other. According to the simulation assumptions captured in TR, the ISD for FR1 is 750m and for FR2 it is 200m. For the new range of 7-24GHz, the range of macro base station should be within 200m to 750m, and with higher frequency, the ISD should be shorter. Hence, to the sample frequency of 10, 15 and 20GHz, we propose the ISD is 660m, 510m, 350m which are linear scaled. The corresponding free space path loss is shown in table 2 below. </w:t>
      </w:r>
    </w:p>
    <w:p>
      <w:pPr>
        <w:bidi w:val="0"/>
        <w:jc w:val="center"/>
        <w:rPr>
          <w:rFonts w:hint="default"/>
          <w:lang w:val="en-US" w:eastAsia="zh-CN"/>
        </w:rPr>
      </w:pPr>
      <w:r>
        <w:rPr>
          <w:rFonts w:hint="eastAsia"/>
          <w:lang w:val="en-US" w:eastAsia="zh-CN"/>
        </w:rPr>
        <w:t>Table 2 FSPL for 3 example frequency</w:t>
      </w:r>
    </w:p>
    <w:tbl>
      <w:tblPr>
        <w:tblStyle w:val="52"/>
        <w:tblW w:w="4320" w:type="dxa"/>
        <w:jc w:val="center"/>
        <w:tblInd w:w="3014" w:type="dxa"/>
        <w:shd w:val="clear" w:color="auto" w:fill="auto"/>
        <w:tblLayout w:type="fixed"/>
        <w:tblCellMar>
          <w:top w:w="0" w:type="dxa"/>
          <w:left w:w="0" w:type="dxa"/>
          <w:bottom w:w="0" w:type="dxa"/>
          <w:right w:w="0" w:type="dxa"/>
        </w:tblCellMar>
      </w:tblPr>
      <w:tblGrid>
        <w:gridCol w:w="1770"/>
        <w:gridCol w:w="1110"/>
        <w:gridCol w:w="1440"/>
      </w:tblGrid>
      <w:tr>
        <w:tblPrEx>
          <w:shd w:val="clear" w:color="auto" w:fill="auto"/>
          <w:tblLayout w:type="fixed"/>
          <w:tblCellMar>
            <w:top w:w="0" w:type="dxa"/>
            <w:left w:w="0" w:type="dxa"/>
            <w:bottom w:w="0" w:type="dxa"/>
            <w:right w:w="0" w:type="dxa"/>
          </w:tblCellMar>
        </w:tblPrEx>
        <w:trPr>
          <w:trHeight w:val="270" w:hRule="atLeast"/>
          <w:jc w:val="center"/>
        </w:trPr>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Frequency(GHz)</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FSPL(dB)</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Distance(m)</w:t>
            </w:r>
          </w:p>
        </w:tc>
      </w:tr>
      <w:tr>
        <w:tblPrEx>
          <w:tblLayout w:type="fixed"/>
          <w:tblCellMar>
            <w:top w:w="0" w:type="dxa"/>
            <w:left w:w="0" w:type="dxa"/>
            <w:bottom w:w="0" w:type="dxa"/>
            <w:right w:w="0" w:type="dxa"/>
          </w:tblCellMar>
        </w:tblPrEx>
        <w:trPr>
          <w:trHeight w:val="270" w:hRule="atLeast"/>
          <w:jc w:val="center"/>
        </w:trPr>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660</w:t>
            </w:r>
          </w:p>
        </w:tc>
      </w:tr>
      <w:tr>
        <w:tblPrEx>
          <w:tblLayout w:type="fixed"/>
          <w:tblCellMar>
            <w:top w:w="0" w:type="dxa"/>
            <w:left w:w="0" w:type="dxa"/>
            <w:bottom w:w="0" w:type="dxa"/>
            <w:right w:w="0" w:type="dxa"/>
          </w:tblCellMar>
        </w:tblPrEx>
        <w:trPr>
          <w:trHeight w:val="270" w:hRule="atLeast"/>
          <w:jc w:val="center"/>
        </w:trPr>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510</w:t>
            </w:r>
          </w:p>
        </w:tc>
      </w:tr>
      <w:tr>
        <w:tblPrEx>
          <w:tblLayout w:type="fixed"/>
          <w:tblCellMar>
            <w:top w:w="0" w:type="dxa"/>
            <w:left w:w="0" w:type="dxa"/>
            <w:bottom w:w="0" w:type="dxa"/>
            <w:right w:w="0" w:type="dxa"/>
          </w:tblCellMar>
        </w:tblPrEx>
        <w:trPr>
          <w:trHeight w:val="270" w:hRule="atLeast"/>
          <w:jc w:val="center"/>
        </w:trPr>
        <w:tc>
          <w:tcPr>
            <w:tcW w:w="17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350</w:t>
            </w:r>
          </w:p>
        </w:tc>
      </w:tr>
    </w:tbl>
    <w:p>
      <w:pPr>
        <w:bidi w:val="0"/>
        <w:rPr>
          <w:rFonts w:hint="default"/>
          <w:lang w:val="en-US" w:eastAsia="zh-CN"/>
        </w:rPr>
      </w:pPr>
      <w:r>
        <w:rPr>
          <w:rFonts w:hint="eastAsia"/>
          <w:lang w:val="en-US" w:eastAsia="zh-CN"/>
        </w:rPr>
        <w:t xml:space="preserve">The beamforming gain for this three different example frequency depends on the antenna array size and coverage requirement. Current beamforming gain of FR1 is about 25dBi and we can take it as an example. Using equation 1, at this time we assume the worst case as the two antenna main lobe pointing to each other and the isolation should be I=FSPL - 2* 25dBi. The result is around 58dB isolation at this time. </w:t>
      </w:r>
    </w:p>
    <w:p>
      <w:pPr>
        <w:bidi w:val="0"/>
        <w:rPr>
          <w:rFonts w:hint="eastAsia"/>
          <w:lang w:val="en-US" w:eastAsia="zh-CN"/>
        </w:rPr>
      </w:pPr>
      <w:r>
        <w:rPr>
          <w:rFonts w:hint="eastAsia"/>
          <w:b/>
          <w:bCs/>
          <w:lang w:val="en-US" w:eastAsia="zh-CN"/>
        </w:rPr>
        <w:t>Observation 2</w:t>
      </w:r>
      <w:r>
        <w:rPr>
          <w:rFonts w:hint="eastAsia"/>
          <w:lang w:val="en-US" w:eastAsia="zh-CN"/>
        </w:rPr>
        <w:t>: Around 58dB antenna isolation is assumed for same geographical area co-location scenario.</w:t>
      </w:r>
    </w:p>
    <w:p>
      <w:pPr>
        <w:bidi w:val="0"/>
        <w:rPr>
          <w:rFonts w:hint="default"/>
          <w:lang w:val="en-US" w:eastAsia="zh-CN"/>
        </w:rPr>
      </w:pPr>
      <w:r>
        <w:rPr>
          <w:rFonts w:hint="eastAsia"/>
          <w:b/>
          <w:bCs/>
          <w:lang w:val="en-US" w:eastAsia="zh-CN"/>
        </w:rPr>
        <w:t>Observation 3</w:t>
      </w:r>
      <w:r>
        <w:rPr>
          <w:rFonts w:hint="eastAsia"/>
          <w:lang w:val="en-US" w:eastAsia="zh-CN"/>
        </w:rPr>
        <w:t>: With this antenna isolation, the same geographical area co-location scenario can be ignored.</w:t>
      </w:r>
    </w:p>
    <w:p>
      <w:pPr>
        <w:bidi w:val="0"/>
        <w:rPr>
          <w:rFonts w:hint="eastAsia"/>
          <w:lang w:val="en-US" w:eastAsia="zh-CN"/>
        </w:rPr>
      </w:pPr>
      <w:r>
        <w:rPr>
          <w:rFonts w:hint="eastAsia"/>
          <w:lang w:val="en-US" w:eastAsia="zh-CN"/>
        </w:rPr>
        <w:t xml:space="preserve">The other scenario is the </w:t>
      </w:r>
      <w:r>
        <w:rPr>
          <w:rFonts w:hint="default"/>
          <w:lang w:val="en-US" w:eastAsia="zh-CN"/>
        </w:rPr>
        <w:t>“</w:t>
      </w:r>
      <w:r>
        <w:rPr>
          <w:rFonts w:hint="eastAsia"/>
          <w:lang w:val="en-US" w:eastAsia="zh-CN"/>
        </w:rPr>
        <w:t>co-sitting</w:t>
      </w:r>
      <w:r>
        <w:rPr>
          <w:rFonts w:hint="default"/>
          <w:lang w:val="en-US" w:eastAsia="zh-CN"/>
        </w:rPr>
        <w:t>”</w:t>
      </w:r>
      <w:r>
        <w:rPr>
          <w:rFonts w:hint="eastAsia"/>
          <w:lang w:val="en-US" w:eastAsia="zh-CN"/>
        </w:rPr>
        <w:t xml:space="preserve"> scenario as expressed in figure 4 below:</w:t>
      </w:r>
    </w:p>
    <w:p>
      <w:pPr>
        <w:bidi w:val="0"/>
        <w:jc w:val="center"/>
        <w:rPr>
          <w:rFonts w:ascii="宋体" w:eastAsia="宋体" w:cs="宋体"/>
          <w:lang w:val="en-US" w:eastAsia="zh-CN"/>
        </w:rPr>
      </w:pPr>
      <w:r>
        <w:rPr>
          <w:rFonts w:ascii="宋体" w:eastAsia="宋体" w:cs="宋体"/>
          <w:lang w:val="en-US" w:eastAsia="zh-CN"/>
        </w:rPr>
        <w:drawing>
          <wp:inline distT="0" distB="0" distL="0" distR="0">
            <wp:extent cx="1022985" cy="1575435"/>
            <wp:effectExtent l="0" t="0" r="5715" b="571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22985" cy="157543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rPr>
          <w:rFonts w:hint="eastAsia"/>
          <w:b w:val="0"/>
          <w:bCs w:val="0"/>
          <w:lang w:val="en-US" w:eastAsia="zh-CN"/>
        </w:rPr>
      </w:pPr>
      <w:r>
        <w:rPr>
          <w:rFonts w:hint="eastAsia"/>
          <w:b w:val="0"/>
          <w:bCs w:val="0"/>
          <w:lang w:val="en-US" w:eastAsia="zh-CN"/>
        </w:rPr>
        <w:t>Figure 4 Typical eNodeb site</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lang w:val="en-US" w:eastAsia="zh-CN"/>
        </w:rPr>
      </w:pPr>
      <w:r>
        <w:rPr>
          <w:rFonts w:hint="eastAsia"/>
          <w:b w:val="0"/>
          <w:bCs w:val="0"/>
          <w:lang w:val="en-US" w:eastAsia="zh-CN"/>
        </w:rPr>
        <w:t>Figure 4 is a typical eNodeb site with antenna mounted on mast as 3 antenna working for each 120 degree sector. For NR, the AAS base station is mounted on the mast instead of the passive antenna, but the scenario is still quite similar. Additionally, different operator might use the same mast which makes the scenario more complicated. In this case, the equation 1 can be applied. The first side lobe gain can be used as the worst case for antenna isolation.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lang w:val="en-US" w:eastAsia="zh-CN"/>
        </w:rPr>
      </w:pPr>
      <w:r>
        <w:rPr>
          <w:rFonts w:hint="eastAsia"/>
          <w:b w:val="0"/>
          <w:bCs w:val="0"/>
          <w:lang w:val="en-US" w:eastAsia="zh-CN"/>
        </w:rPr>
        <w:t>However, the isolation distance needs more analysis.What</w:t>
      </w:r>
      <w:r>
        <w:rPr>
          <w:rFonts w:hint="default"/>
          <w:b w:val="0"/>
          <w:bCs w:val="0"/>
          <w:lang w:val="en-US" w:eastAsia="zh-CN"/>
        </w:rPr>
        <w:t>’</w:t>
      </w:r>
      <w:r>
        <w:rPr>
          <w:rFonts w:hint="eastAsia"/>
          <w:b w:val="0"/>
          <w:bCs w:val="0"/>
          <w:lang w:val="en-US" w:eastAsia="zh-CN"/>
        </w:rPr>
        <w:t xml:space="preserve">s more, the far filed distance </w:t>
      </w:r>
      <w:r>
        <w:rPr>
          <w:rFonts w:hint="eastAsia"/>
          <w:lang w:val="en-US" w:eastAsia="zh-CN"/>
        </w:rPr>
        <w:t>2D</w:t>
      </w:r>
      <w:r>
        <w:rPr>
          <w:rFonts w:hint="eastAsia"/>
          <w:vertAlign w:val="superscript"/>
          <w:lang w:val="en-US" w:eastAsia="zh-CN"/>
        </w:rPr>
        <w:t>2</w:t>
      </w:r>
      <w:r>
        <w:rPr>
          <w:rFonts w:hint="eastAsia"/>
          <w:lang w:val="en-US" w:eastAsia="zh-CN"/>
        </w:rPr>
        <w:t>/</w:t>
      </w:r>
      <w:r>
        <w:rPr>
          <w:rFonts w:hint="eastAsia" w:ascii="宋体" w:eastAsia="宋体"/>
          <w:szCs w:val="24"/>
          <w:lang w:eastAsia="zh-CN"/>
        </w:rPr>
        <w:t>λ</w:t>
      </w:r>
      <w:r>
        <w:rPr>
          <w:rFonts w:hint="eastAsia" w:ascii="宋体"/>
          <w:szCs w:val="24"/>
          <w:lang w:val="en-US" w:eastAsia="zh-CN"/>
        </w:rPr>
        <w:t xml:space="preserve"> </w:t>
      </w:r>
      <w:r>
        <w:rPr>
          <w:rFonts w:hint="eastAsia"/>
          <w:b w:val="0"/>
          <w:bCs w:val="0"/>
          <w:lang w:val="en-US" w:eastAsia="zh-CN"/>
        </w:rPr>
        <w:t xml:space="preserve">needs to be considered for large antenna array. In this </w:t>
      </w:r>
      <w:r>
        <w:rPr>
          <w:rFonts w:hint="default"/>
          <w:b w:val="0"/>
          <w:bCs w:val="0"/>
          <w:lang w:val="en-US" w:eastAsia="zh-CN"/>
        </w:rPr>
        <w:t>“</w:t>
      </w:r>
      <w:r>
        <w:rPr>
          <w:rFonts w:hint="eastAsia"/>
          <w:b w:val="0"/>
          <w:bCs w:val="0"/>
          <w:lang w:val="en-US" w:eastAsia="zh-CN"/>
        </w:rPr>
        <w:t>co-sitting</w:t>
      </w:r>
      <w:r>
        <w:rPr>
          <w:rFonts w:hint="default"/>
          <w:b w:val="0"/>
          <w:bCs w:val="0"/>
          <w:lang w:val="en-US" w:eastAsia="zh-CN"/>
        </w:rPr>
        <w:t>”</w:t>
      </w:r>
      <w:r>
        <w:rPr>
          <w:rFonts w:hint="eastAsia"/>
          <w:b w:val="0"/>
          <w:bCs w:val="0"/>
          <w:lang w:val="en-US" w:eastAsia="zh-CN"/>
        </w:rPr>
        <w:t xml:space="preserve"> scenario, if we use the full antenna array diameter as the D, the far filed distance is hard to fulfill. One reasonable solution is to use the array element size within this relative small isolation distance. </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val="0"/>
          <w:bCs w:val="0"/>
          <w:lang w:val="en-US" w:eastAsia="zh-CN"/>
        </w:rPr>
      </w:pPr>
      <w:r>
        <w:rPr>
          <w:rFonts w:hint="eastAsia"/>
          <w:b w:val="0"/>
          <w:bCs w:val="0"/>
          <w:lang w:val="en-US" w:eastAsia="zh-CN"/>
        </w:rPr>
        <w:t>Based on the analysis above, some further study is needed. It is no hu</w:t>
      </w:r>
      <w:bookmarkStart w:id="7" w:name="_GoBack"/>
      <w:bookmarkEnd w:id="7"/>
      <w:r>
        <w:rPr>
          <w:rFonts w:hint="eastAsia"/>
          <w:b w:val="0"/>
          <w:bCs w:val="0"/>
          <w:lang w:val="en-US" w:eastAsia="zh-CN"/>
        </w:rPr>
        <w:t>rry to judge if we need co-location requirement in study item phase.</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analysis of co-location requirement of 7-24GHz and the observations are:</w:t>
      </w:r>
    </w:p>
    <w:p>
      <w:pPr>
        <w:bidi w:val="0"/>
        <w:rPr>
          <w:rFonts w:hint="eastAsia"/>
          <w:lang w:val="en-US" w:eastAsia="zh-CN"/>
        </w:rPr>
      </w:pPr>
      <w:r>
        <w:rPr>
          <w:rFonts w:hint="eastAsia"/>
          <w:b/>
          <w:bCs/>
          <w:lang w:val="en-US" w:eastAsia="zh-CN"/>
        </w:rPr>
        <w:t>Observation 1</w:t>
      </w:r>
      <w:r>
        <w:rPr>
          <w:rFonts w:hint="eastAsia"/>
          <w:lang w:val="en-US" w:eastAsia="zh-CN"/>
        </w:rPr>
        <w:t>: Side lobe gain is used to derive the antenna isolation and equation 1 is conformed to real test result.</w:t>
      </w:r>
    </w:p>
    <w:p>
      <w:pPr>
        <w:bidi w:val="0"/>
        <w:rPr>
          <w:rFonts w:hint="eastAsia"/>
          <w:lang w:val="en-US" w:eastAsia="zh-CN"/>
        </w:rPr>
      </w:pPr>
      <w:r>
        <w:rPr>
          <w:rFonts w:hint="eastAsia"/>
          <w:b/>
          <w:bCs/>
          <w:lang w:val="en-US" w:eastAsia="zh-CN"/>
        </w:rPr>
        <w:t>Observation 2</w:t>
      </w:r>
      <w:r>
        <w:rPr>
          <w:rFonts w:hint="eastAsia"/>
          <w:lang w:val="en-US" w:eastAsia="zh-CN"/>
        </w:rPr>
        <w:t>: Around 58dB antenna isolation is assumed for same geographical area co-location scenario.</w:t>
      </w:r>
    </w:p>
    <w:p>
      <w:pPr>
        <w:bidi w:val="0"/>
        <w:rPr>
          <w:rFonts w:hint="default"/>
          <w:lang w:val="en-US" w:eastAsia="zh-CN"/>
        </w:rPr>
      </w:pPr>
      <w:r>
        <w:rPr>
          <w:rFonts w:hint="eastAsia"/>
          <w:b/>
          <w:bCs/>
          <w:lang w:val="en-US" w:eastAsia="zh-CN"/>
        </w:rPr>
        <w:t>Observation 3</w:t>
      </w:r>
      <w:r>
        <w:rPr>
          <w:rFonts w:hint="eastAsia"/>
          <w:lang w:val="en-US" w:eastAsia="zh-CN"/>
        </w:rPr>
        <w:t>: With this antenna isolation, the same geographical area co-location scenario can be ignored.</w:t>
      </w:r>
    </w:p>
    <w:p>
      <w:pPr>
        <w:pStyle w:val="2"/>
        <w:numPr>
          <w:ilvl w:val="0"/>
          <w:numId w:val="0"/>
        </w:numPr>
        <w:tabs>
          <w:tab w:val="clear" w:pos="432"/>
        </w:tabs>
        <w:ind w:leftChars="0"/>
        <w:rPr>
          <w:rFonts w:cs="Arial"/>
          <w:lang w:eastAsia="zh-CN"/>
        </w:rPr>
      </w:pPr>
      <w:r>
        <w:rPr>
          <w:rFonts w:cs="Arial"/>
          <w:lang w:eastAsia="zh-CN"/>
        </w:rPr>
        <w:t>References</w:t>
      </w:r>
    </w:p>
    <w:p>
      <w:pPr>
        <w:pStyle w:val="93"/>
        <w:rPr>
          <w:rFonts w:hint="eastAsia"/>
          <w:lang w:val="en-US" w:eastAsia="zh-CN"/>
        </w:rPr>
      </w:pPr>
      <w:r>
        <w:rPr>
          <w:rFonts w:hint="eastAsia"/>
          <w:lang w:val="en-US" w:eastAsia="zh-CN"/>
        </w:rPr>
        <w:t>R4-1906162 On co-location scenarios and technical background for the frequency range 7 to 24 GHz, Ericsson</w:t>
      </w:r>
    </w:p>
    <w:p>
      <w:pPr>
        <w:pStyle w:val="93"/>
        <w:rPr>
          <w:rFonts w:hint="default"/>
          <w:lang w:val="en-US" w:eastAsia="zh-CN"/>
        </w:rPr>
      </w:pPr>
      <w:r>
        <w:rPr>
          <w:rFonts w:hint="eastAsia"/>
          <w:lang w:val="en-US" w:eastAsia="zh-CN"/>
        </w:rPr>
        <w:t>R4-99631 Antenna-to-Antenna Isolation Measurements, Allgon</w:t>
      </w:r>
    </w:p>
    <w:p>
      <w:pPr>
        <w:pStyle w:val="93"/>
        <w:rPr>
          <w:rFonts w:hint="default"/>
          <w:lang w:val="en-US" w:eastAsia="zh-CN"/>
        </w:rPr>
      </w:pPr>
      <w:r>
        <w:rPr>
          <w:rFonts w:hint="eastAsia"/>
          <w:lang w:val="en-US" w:eastAsia="zh-CN"/>
        </w:rPr>
        <w:t>ITU-R M.2244, Isolation between antennas of IMT base stations in the land mobile service</w:t>
      </w:r>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altName w:val="Times New Roman"/>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7F48E"/>
    <w:multiLevelType w:val="singleLevel"/>
    <w:tmpl w:val="03D7F48E"/>
    <w:lvl w:ilvl="0" w:tentative="0">
      <w:start w:val="1"/>
      <w:numFmt w:val="decimal"/>
      <w:lvlText w:val="(%1)"/>
      <w:lvlJc w:val="left"/>
      <w:pPr>
        <w:tabs>
          <w:tab w:val="left" w:pos="312"/>
        </w:tabs>
      </w:pPr>
    </w:lvl>
  </w:abstractNum>
  <w:abstractNum w:abstractNumId="1">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2">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3">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6">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
  </w:num>
  <w:num w:numId="3">
    <w:abstractNumId w:val="6"/>
  </w:num>
  <w:num w:numId="4">
    <w:abstractNumId w:val="2"/>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C65454"/>
    <w:rsid w:val="031C4CB7"/>
    <w:rsid w:val="03AA77A6"/>
    <w:rsid w:val="03AE5ECC"/>
    <w:rsid w:val="04763DB6"/>
    <w:rsid w:val="047C7717"/>
    <w:rsid w:val="05963C46"/>
    <w:rsid w:val="06185017"/>
    <w:rsid w:val="07194BEB"/>
    <w:rsid w:val="092F347C"/>
    <w:rsid w:val="094D0600"/>
    <w:rsid w:val="09501C01"/>
    <w:rsid w:val="0A2960EF"/>
    <w:rsid w:val="0AC11F2A"/>
    <w:rsid w:val="0B790392"/>
    <w:rsid w:val="0BE16E54"/>
    <w:rsid w:val="0C3118E5"/>
    <w:rsid w:val="0C615DB7"/>
    <w:rsid w:val="0C90604D"/>
    <w:rsid w:val="0CBC21A6"/>
    <w:rsid w:val="0D30069E"/>
    <w:rsid w:val="0D885B5C"/>
    <w:rsid w:val="0D8A1C03"/>
    <w:rsid w:val="0DD84BA6"/>
    <w:rsid w:val="0E763984"/>
    <w:rsid w:val="0EE8621E"/>
    <w:rsid w:val="0FBB53A3"/>
    <w:rsid w:val="0FC44BB0"/>
    <w:rsid w:val="10561550"/>
    <w:rsid w:val="108C25AB"/>
    <w:rsid w:val="10FF105C"/>
    <w:rsid w:val="11823C62"/>
    <w:rsid w:val="11CE6ABD"/>
    <w:rsid w:val="12116912"/>
    <w:rsid w:val="12E766F9"/>
    <w:rsid w:val="1354200B"/>
    <w:rsid w:val="13867FC8"/>
    <w:rsid w:val="139C0323"/>
    <w:rsid w:val="15B13CC5"/>
    <w:rsid w:val="15EA0565"/>
    <w:rsid w:val="166C0F69"/>
    <w:rsid w:val="169E6FF0"/>
    <w:rsid w:val="176F3E0E"/>
    <w:rsid w:val="18244A12"/>
    <w:rsid w:val="19553F68"/>
    <w:rsid w:val="19E510C0"/>
    <w:rsid w:val="1A670C75"/>
    <w:rsid w:val="1BB41235"/>
    <w:rsid w:val="1BDD4E03"/>
    <w:rsid w:val="1C3E5BEE"/>
    <w:rsid w:val="1CF339B8"/>
    <w:rsid w:val="1D000C57"/>
    <w:rsid w:val="1D9D6581"/>
    <w:rsid w:val="1E4067BA"/>
    <w:rsid w:val="1E9A2C7A"/>
    <w:rsid w:val="1F4443F8"/>
    <w:rsid w:val="1F697F0E"/>
    <w:rsid w:val="1F825716"/>
    <w:rsid w:val="20484B28"/>
    <w:rsid w:val="205270E7"/>
    <w:rsid w:val="20B1597C"/>
    <w:rsid w:val="21107C64"/>
    <w:rsid w:val="21472AD0"/>
    <w:rsid w:val="21C109E9"/>
    <w:rsid w:val="21D67E69"/>
    <w:rsid w:val="225847F9"/>
    <w:rsid w:val="23597F29"/>
    <w:rsid w:val="24541EC9"/>
    <w:rsid w:val="2462145D"/>
    <w:rsid w:val="25BE15D6"/>
    <w:rsid w:val="26472AAA"/>
    <w:rsid w:val="277059BF"/>
    <w:rsid w:val="27BA255A"/>
    <w:rsid w:val="288B0F82"/>
    <w:rsid w:val="28E63C49"/>
    <w:rsid w:val="29C43C65"/>
    <w:rsid w:val="29D25E5C"/>
    <w:rsid w:val="2A351867"/>
    <w:rsid w:val="2C100919"/>
    <w:rsid w:val="2C936C30"/>
    <w:rsid w:val="2CD613D2"/>
    <w:rsid w:val="2D1050B9"/>
    <w:rsid w:val="2D153347"/>
    <w:rsid w:val="2D2A1CF1"/>
    <w:rsid w:val="2DAF0FA0"/>
    <w:rsid w:val="2E0A65A8"/>
    <w:rsid w:val="2EF65C57"/>
    <w:rsid w:val="2F7808DB"/>
    <w:rsid w:val="301A7FA6"/>
    <w:rsid w:val="30885017"/>
    <w:rsid w:val="31C725D8"/>
    <w:rsid w:val="31E70315"/>
    <w:rsid w:val="32352858"/>
    <w:rsid w:val="32F234B3"/>
    <w:rsid w:val="33957597"/>
    <w:rsid w:val="339C289B"/>
    <w:rsid w:val="33AC3E9B"/>
    <w:rsid w:val="346B6A82"/>
    <w:rsid w:val="35CD640B"/>
    <w:rsid w:val="35DA3A34"/>
    <w:rsid w:val="377F030D"/>
    <w:rsid w:val="381708BF"/>
    <w:rsid w:val="388E4CAC"/>
    <w:rsid w:val="38B038AB"/>
    <w:rsid w:val="39BD0890"/>
    <w:rsid w:val="39EF3888"/>
    <w:rsid w:val="3B2A3952"/>
    <w:rsid w:val="3CAA1627"/>
    <w:rsid w:val="3D3210E1"/>
    <w:rsid w:val="3E2E3C0E"/>
    <w:rsid w:val="3E343CDE"/>
    <w:rsid w:val="3E3602D5"/>
    <w:rsid w:val="3EE436F8"/>
    <w:rsid w:val="40313E38"/>
    <w:rsid w:val="405209B8"/>
    <w:rsid w:val="40D040B2"/>
    <w:rsid w:val="413977F1"/>
    <w:rsid w:val="414D70C7"/>
    <w:rsid w:val="415522FE"/>
    <w:rsid w:val="422431F5"/>
    <w:rsid w:val="42395B94"/>
    <w:rsid w:val="424B558A"/>
    <w:rsid w:val="426B0E00"/>
    <w:rsid w:val="42AE4A66"/>
    <w:rsid w:val="42EE355E"/>
    <w:rsid w:val="43F45753"/>
    <w:rsid w:val="44204329"/>
    <w:rsid w:val="44FD35A1"/>
    <w:rsid w:val="451A2E72"/>
    <w:rsid w:val="457D67B8"/>
    <w:rsid w:val="45D61D1B"/>
    <w:rsid w:val="465B1E95"/>
    <w:rsid w:val="467823B0"/>
    <w:rsid w:val="46ED68DD"/>
    <w:rsid w:val="482B3AD8"/>
    <w:rsid w:val="48866A0F"/>
    <w:rsid w:val="4A015527"/>
    <w:rsid w:val="4A581A46"/>
    <w:rsid w:val="4B112B71"/>
    <w:rsid w:val="4BA52676"/>
    <w:rsid w:val="4C6B12AB"/>
    <w:rsid w:val="4CBE1380"/>
    <w:rsid w:val="4D8D0EED"/>
    <w:rsid w:val="4E0B7835"/>
    <w:rsid w:val="4E6374A0"/>
    <w:rsid w:val="4EDC2D82"/>
    <w:rsid w:val="4F484719"/>
    <w:rsid w:val="4FB95573"/>
    <w:rsid w:val="50101CBA"/>
    <w:rsid w:val="50502B31"/>
    <w:rsid w:val="51B3156D"/>
    <w:rsid w:val="523364F3"/>
    <w:rsid w:val="52452974"/>
    <w:rsid w:val="52A4335A"/>
    <w:rsid w:val="52B64652"/>
    <w:rsid w:val="5486461F"/>
    <w:rsid w:val="54966634"/>
    <w:rsid w:val="569C053A"/>
    <w:rsid w:val="571479C7"/>
    <w:rsid w:val="58BA16F6"/>
    <w:rsid w:val="5A1C2F07"/>
    <w:rsid w:val="5AA73CA5"/>
    <w:rsid w:val="5B9B36BD"/>
    <w:rsid w:val="5C844C0E"/>
    <w:rsid w:val="5D5A5641"/>
    <w:rsid w:val="5D5E4B33"/>
    <w:rsid w:val="5DD85B0C"/>
    <w:rsid w:val="5E720882"/>
    <w:rsid w:val="5E8C6849"/>
    <w:rsid w:val="5FBE7D86"/>
    <w:rsid w:val="606D729C"/>
    <w:rsid w:val="6120442E"/>
    <w:rsid w:val="61392C49"/>
    <w:rsid w:val="61E91DC1"/>
    <w:rsid w:val="61EB6DF6"/>
    <w:rsid w:val="628B20F9"/>
    <w:rsid w:val="63D32CF9"/>
    <w:rsid w:val="65990434"/>
    <w:rsid w:val="65ED19B5"/>
    <w:rsid w:val="66593A9F"/>
    <w:rsid w:val="672762CB"/>
    <w:rsid w:val="675D0F52"/>
    <w:rsid w:val="67A84266"/>
    <w:rsid w:val="68FE10CA"/>
    <w:rsid w:val="69954D46"/>
    <w:rsid w:val="6A650E24"/>
    <w:rsid w:val="6AB03EB3"/>
    <w:rsid w:val="6BE1413E"/>
    <w:rsid w:val="6C560643"/>
    <w:rsid w:val="6C5C4755"/>
    <w:rsid w:val="6CC47F20"/>
    <w:rsid w:val="6D250CAB"/>
    <w:rsid w:val="6D6A226E"/>
    <w:rsid w:val="6D9E564E"/>
    <w:rsid w:val="6DD30080"/>
    <w:rsid w:val="6E647BAA"/>
    <w:rsid w:val="6E6C55F9"/>
    <w:rsid w:val="6E73050D"/>
    <w:rsid w:val="6ED8743F"/>
    <w:rsid w:val="6F166551"/>
    <w:rsid w:val="6F7A5B80"/>
    <w:rsid w:val="70994298"/>
    <w:rsid w:val="70A779CE"/>
    <w:rsid w:val="71E56F25"/>
    <w:rsid w:val="72451C1F"/>
    <w:rsid w:val="729F318F"/>
    <w:rsid w:val="73653AD9"/>
    <w:rsid w:val="752B36B1"/>
    <w:rsid w:val="75D44E15"/>
    <w:rsid w:val="77BD025C"/>
    <w:rsid w:val="780B13D6"/>
    <w:rsid w:val="792A63C1"/>
    <w:rsid w:val="79711E7A"/>
    <w:rsid w:val="7A0C6A43"/>
    <w:rsid w:val="7A4608C1"/>
    <w:rsid w:val="7A671CFD"/>
    <w:rsid w:val="7B882BF8"/>
    <w:rsid w:val="7BD75797"/>
    <w:rsid w:val="7C8034ED"/>
    <w:rsid w:val="7DB63A4C"/>
    <w:rsid w:val="7E2A7A73"/>
    <w:rsid w:val="7E2B52CB"/>
    <w:rsid w:val="7E517B55"/>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hAnsi="CG Times"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textAlignment w:val="auto"/>
    </w:pPr>
    <w:rPr>
      <w:rFonts w:eastAsia="Batang"/>
      <w:lang w:eastAsia="fr-FR"/>
    </w:rPr>
  </w:style>
  <w:style w:type="paragraph" w:customStyle="1" w:styleId="131">
    <w:name w:val="Title 1"/>
    <w:basedOn w:val="132"/>
    <w:next w:val="133"/>
    <w:qFormat/>
    <w:uiPriority w:val="0"/>
    <w:pPr>
      <w:tabs>
        <w:tab w:val="left" w:pos="567"/>
        <w:tab w:val="left" w:pos="1134"/>
        <w:tab w:val="left" w:pos="1701"/>
        <w:tab w:val="left" w:pos="1871"/>
        <w:tab w:val="left" w:pos="2268"/>
        <w:tab w:val="left" w:pos="2835"/>
      </w:tabs>
      <w:spacing w:before="240"/>
    </w:pPr>
    <w:rPr>
      <w:b w:val="0"/>
      <w:caps/>
    </w:rPr>
  </w:style>
  <w:style w:type="paragraph" w:customStyle="1" w:styleId="132">
    <w:name w:val="Source"/>
    <w:basedOn w:val="1"/>
    <w:next w:val="1"/>
    <w:qFormat/>
    <w:uiPriority w:val="0"/>
    <w:pPr>
      <w:tabs>
        <w:tab w:val="left" w:pos="1134"/>
        <w:tab w:val="left" w:pos="1871"/>
        <w:tab w:val="left" w:pos="2268"/>
      </w:tabs>
      <w:spacing w:before="840"/>
      <w:jc w:val="center"/>
    </w:pPr>
    <w:rPr>
      <w:b/>
      <w:sz w:val="28"/>
    </w:rPr>
  </w:style>
  <w:style w:type="paragraph" w:customStyle="1" w:styleId="133">
    <w:name w:val="Title 2"/>
    <w:basedOn w:val="132"/>
    <w:next w:val="134"/>
    <w:qFormat/>
    <w:uiPriority w:val="0"/>
    <w:pPr>
      <w:overflowPunct/>
      <w:autoSpaceDE/>
      <w:autoSpaceDN/>
      <w:adjustRightInd/>
      <w:spacing w:before="480"/>
      <w:textAlignment w:val="auto"/>
    </w:pPr>
    <w:rPr>
      <w:b w:val="0"/>
      <w:caps/>
    </w:rPr>
  </w:style>
  <w:style w:type="paragraph" w:customStyle="1" w:styleId="134">
    <w:name w:val="Title 3"/>
    <w:basedOn w:val="133"/>
    <w:next w:val="135"/>
    <w:qFormat/>
    <w:uiPriority w:val="0"/>
    <w:pPr>
      <w:spacing w:before="240"/>
    </w:pPr>
    <w:rPr>
      <w:caps w:val="0"/>
    </w:rPr>
  </w:style>
  <w:style w:type="paragraph" w:customStyle="1" w:styleId="135">
    <w:name w:val="Title 4"/>
    <w:basedOn w:val="134"/>
    <w:next w:val="2"/>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emf"/><Relationship Id="rId7" Type="http://schemas.openxmlformats.org/officeDocument/2006/relationships/oleObject" Target="embeddings/oleObject2.bin"/><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0</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 Zhou ZTE</cp:lastModifiedBy>
  <cp:lastPrinted>2015-01-14T18:53:00Z</cp:lastPrinted>
  <dcterms:modified xsi:type="dcterms:W3CDTF">2019-08-16T10:10:15Z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